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settings.xml" ContentType="application/vnd.openxmlformats-officedocument.wordprocessingml.setting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tbl>
      <w:tblPr>
        <w:tblW w:w="15876" w:type="dxa"/>
        <w:jc w:val="left"/>
        <w:tblInd w:w="-998" w:type="dxa"/>
        <w:tblLayout w:type="fixed"/>
        <w:tblCellMar>
          <w:top w:w="0" w:type="dxa"/>
          <w:left w:w="108" w:type="dxa"/>
          <w:bottom w:w="0" w:type="dxa"/>
          <w:right w:w="108" w:type="dxa"/>
        </w:tblCellMar>
      </w:tblPr>
      <w:tblGrid>
        <w:gridCol w:w="2978"/>
        <w:gridCol w:w="12897"/>
      </w:tblGrid>
      <w:tr>
        <w:trPr/>
        <w:tc>
          <w:tcPr>
            <w:tcW w:w="2978"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40" w:before="0" w:after="0"/>
              <w:jc w:val="left"/>
              <w:rPr>
                <w:rFonts w:eastAsia="Calibri" w:cs=""/>
                <w:kern w:val="0"/>
                <w:sz w:val="22"/>
                <w:szCs w:val="22"/>
                <w:lang w:val="es-ES" w:eastAsia="en-US" w:bidi="ar-SA"/>
              </w:rPr>
            </w:pPr>
            <w:r>
              <w:rPr>
                <w:rFonts w:eastAsia="Calibri" w:cs=""/>
                <w:kern w:val="0"/>
                <w:sz w:val="22"/>
                <w:szCs w:val="22"/>
                <w:lang w:val="es-ES" w:eastAsia="en-US" w:bidi="ar-SA"/>
              </w:rPr>
              <w:t>Advirsory ID</w:t>
            </w:r>
          </w:p>
        </w:tc>
        <w:tc>
          <w:tcPr>
            <w:tcW w:w="12897"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40" w:before="0" w:after="0"/>
              <w:jc w:val="left"/>
              <w:rPr>
                <w:rFonts w:eastAsia="Calibri" w:cs=""/>
                <w:kern w:val="0"/>
                <w:sz w:val="22"/>
                <w:szCs w:val="22"/>
                <w:lang w:val="es-ES" w:eastAsia="en-US" w:bidi="ar-SA"/>
              </w:rPr>
            </w:pPr>
            <w:r>
              <w:rPr>
                <w:rFonts w:eastAsia="Calibri" w:cs=""/>
                <w:kern w:val="0"/>
                <w:sz w:val="22"/>
                <w:szCs w:val="22"/>
                <w:lang w:val="es-ES" w:eastAsia="en-US" w:bidi="ar-SA"/>
              </w:rPr>
              <w:t>INCIBE-2023-0085</w:t>
            </w:r>
          </w:p>
        </w:tc>
      </w:tr>
      <w:tr>
        <w:trPr/>
        <w:tc>
          <w:tcPr>
            <w:tcW w:w="2978"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40" w:before="0" w:after="0"/>
              <w:jc w:val="left"/>
              <w:rPr>
                <w:rFonts w:eastAsia="Calibri" w:cs=""/>
                <w:kern w:val="0"/>
                <w:sz w:val="22"/>
                <w:szCs w:val="22"/>
                <w:lang w:val="es-ES" w:eastAsia="en-US" w:bidi="ar-SA"/>
              </w:rPr>
            </w:pPr>
            <w:r>
              <w:rPr>
                <w:rFonts w:eastAsia="Calibri" w:cs=""/>
                <w:kern w:val="0"/>
                <w:sz w:val="22"/>
                <w:szCs w:val="22"/>
                <w:lang w:val="es-ES" w:eastAsia="en-US" w:bidi="ar-SA"/>
              </w:rPr>
              <w:t>Publication Date</w:t>
            </w:r>
          </w:p>
        </w:tc>
        <w:tc>
          <w:tcPr>
            <w:tcW w:w="12897"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40" w:before="0" w:after="0"/>
              <w:jc w:val="left"/>
              <w:rPr>
                <w:rFonts w:eastAsia="Calibri" w:cs=""/>
                <w:kern w:val="0"/>
                <w:sz w:val="22"/>
                <w:szCs w:val="22"/>
                <w:lang w:val="es-ES" w:eastAsia="en-US" w:bidi="ar-SA"/>
              </w:rPr>
            </w:pPr>
            <w:r>
              <w:rPr>
                <w:rFonts w:eastAsia="Calibri" w:cs=""/>
                <w:kern w:val="0"/>
                <w:sz w:val="22"/>
                <w:szCs w:val="22"/>
                <w:lang w:val="es-ES" w:eastAsia="en-US" w:bidi="ar-SA"/>
              </w:rPr>
              <w:t>xx/xx/2023</w:t>
            </w:r>
          </w:p>
        </w:tc>
      </w:tr>
      <w:tr>
        <w:trPr/>
        <w:tc>
          <w:tcPr>
            <w:tcW w:w="2978"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40" w:before="0" w:after="0"/>
              <w:jc w:val="left"/>
              <w:rPr>
                <w:rFonts w:eastAsia="Calibri" w:cs=""/>
                <w:kern w:val="0"/>
                <w:sz w:val="22"/>
                <w:szCs w:val="22"/>
                <w:lang w:val="es-ES" w:eastAsia="en-US" w:bidi="ar-SA"/>
              </w:rPr>
            </w:pPr>
            <w:r>
              <w:rPr>
                <w:rFonts w:eastAsia="Calibri" w:cs=""/>
                <w:kern w:val="0"/>
                <w:sz w:val="22"/>
                <w:szCs w:val="22"/>
                <w:lang w:val="es-ES" w:eastAsia="en-US" w:bidi="ar-SA"/>
              </w:rPr>
              <w:t>Last Update</w:t>
            </w:r>
          </w:p>
        </w:tc>
        <w:tc>
          <w:tcPr>
            <w:tcW w:w="12897"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40" w:before="0" w:after="0"/>
              <w:jc w:val="left"/>
              <w:rPr>
                <w:rFonts w:eastAsia="Calibri" w:cs=""/>
                <w:kern w:val="0"/>
                <w:sz w:val="22"/>
                <w:szCs w:val="22"/>
                <w:lang w:val="es-ES" w:eastAsia="en-US" w:bidi="ar-SA"/>
              </w:rPr>
            </w:pPr>
            <w:r>
              <w:rPr>
                <w:rFonts w:eastAsia="Calibri" w:cs=""/>
                <w:kern w:val="0"/>
                <w:sz w:val="22"/>
                <w:szCs w:val="22"/>
                <w:lang w:val="es-ES" w:eastAsia="en-US" w:bidi="ar-SA"/>
              </w:rPr>
              <w:t>xx/xx/2023</w:t>
            </w:r>
          </w:p>
        </w:tc>
      </w:tr>
      <w:tr>
        <w:trPr/>
        <w:tc>
          <w:tcPr>
            <w:tcW w:w="2978"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40" w:before="0" w:after="0"/>
              <w:jc w:val="left"/>
              <w:rPr>
                <w:rFonts w:eastAsia="Calibri" w:cs=""/>
                <w:kern w:val="0"/>
                <w:sz w:val="22"/>
                <w:szCs w:val="22"/>
                <w:lang w:val="es-ES" w:eastAsia="en-US" w:bidi="ar-SA"/>
              </w:rPr>
            </w:pPr>
            <w:r>
              <w:rPr>
                <w:rFonts w:eastAsia="Calibri" w:cs=""/>
                <w:kern w:val="0"/>
                <w:sz w:val="22"/>
                <w:szCs w:val="22"/>
                <w:lang w:val="es-ES" w:eastAsia="en-US" w:bidi="ar-SA"/>
              </w:rPr>
              <w:t>CVSS v3.1 Base Score</w:t>
            </w:r>
          </w:p>
        </w:tc>
        <w:tc>
          <w:tcPr>
            <w:tcW w:w="12897"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napToGrid w:val="false"/>
              <w:spacing w:lineRule="auto" w:line="240" w:before="0" w:after="0"/>
              <w:jc w:val="left"/>
              <w:rPr/>
            </w:pPr>
            <w:r>
              <w:rPr>
                <w:rFonts w:eastAsia="Calibri" w:cs=""/>
                <w:kern w:val="0"/>
                <w:sz w:val="22"/>
                <w:szCs w:val="22"/>
                <w:lang w:val="es-ES" w:eastAsia="en-US" w:bidi="ar-SA"/>
              </w:rPr>
              <w:t>9.8</w:t>
            </w:r>
          </w:p>
        </w:tc>
      </w:tr>
      <w:tr>
        <w:trPr/>
        <w:tc>
          <w:tcPr>
            <w:tcW w:w="2978"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40" w:before="0" w:after="0"/>
              <w:jc w:val="left"/>
              <w:rPr>
                <w:rFonts w:eastAsia="Calibri" w:cs=""/>
                <w:kern w:val="0"/>
                <w:sz w:val="22"/>
                <w:szCs w:val="22"/>
                <w:lang w:val="es-ES" w:eastAsia="en-US" w:bidi="ar-SA"/>
              </w:rPr>
            </w:pPr>
            <w:r>
              <w:rPr>
                <w:rFonts w:eastAsia="Calibri" w:cs=""/>
                <w:kern w:val="0"/>
                <w:sz w:val="22"/>
                <w:szCs w:val="22"/>
                <w:lang w:val="es-ES" w:eastAsia="en-US" w:bidi="ar-SA"/>
              </w:rPr>
              <w:t>CVSS v3.1 Vector</w:t>
            </w:r>
          </w:p>
        </w:tc>
        <w:tc>
          <w:tcPr>
            <w:tcW w:w="12897"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40" w:before="0" w:after="0"/>
              <w:jc w:val="left"/>
              <w:rPr>
                <w:rFonts w:eastAsia="Calibri" w:cs=""/>
                <w:kern w:val="0"/>
                <w:sz w:val="22"/>
                <w:szCs w:val="22"/>
                <w:lang w:val="en-US" w:eastAsia="en-US" w:bidi="ar-SA"/>
              </w:rPr>
            </w:pPr>
            <w:r>
              <w:rPr>
                <w:rFonts w:eastAsia="Calibri" w:cs=""/>
                <w:kern w:val="0"/>
                <w:sz w:val="22"/>
                <w:szCs w:val="22"/>
                <w:lang w:val="en-US" w:eastAsia="en-US" w:bidi="ar-SA"/>
              </w:rPr>
              <w:t>AV:N/AC:L/PR:N/UI:N/S:U/C:H/I:H/A:H</w:t>
            </w:r>
          </w:p>
        </w:tc>
      </w:tr>
      <w:tr>
        <w:trPr/>
        <w:tc>
          <w:tcPr>
            <w:tcW w:w="2978"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40" w:before="0" w:after="0"/>
              <w:jc w:val="left"/>
              <w:rPr>
                <w:rFonts w:eastAsia="Calibri" w:cs=""/>
                <w:kern w:val="0"/>
                <w:sz w:val="22"/>
                <w:szCs w:val="22"/>
                <w:lang w:val="es-ES" w:eastAsia="en-US" w:bidi="ar-SA"/>
              </w:rPr>
            </w:pPr>
            <w:r>
              <w:rPr>
                <w:rFonts w:eastAsia="Calibri" w:cs=""/>
                <w:kern w:val="0"/>
                <w:sz w:val="22"/>
                <w:szCs w:val="22"/>
                <w:lang w:val="es-ES" w:eastAsia="en-US" w:bidi="ar-SA"/>
              </w:rPr>
              <w:t>Manufacturer</w:t>
            </w:r>
          </w:p>
        </w:tc>
        <w:tc>
          <w:tcPr>
            <w:tcW w:w="12897"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napToGrid w:val="false"/>
              <w:spacing w:lineRule="auto" w:line="240" w:before="0" w:after="0"/>
              <w:jc w:val="left"/>
              <w:rPr>
                <w:rFonts w:eastAsia="Calibri" w:cs=""/>
                <w:kern w:val="0"/>
                <w:sz w:val="22"/>
                <w:szCs w:val="22"/>
                <w:lang w:val="es-ES" w:eastAsia="en-US" w:bidi="ar-SA"/>
              </w:rPr>
            </w:pPr>
            <w:r>
              <w:rPr>
                <w:rFonts w:eastAsia="Calibri" w:cs=""/>
                <w:kern w:val="0"/>
                <w:sz w:val="22"/>
                <w:szCs w:val="22"/>
                <w:lang w:val="es-ES" w:eastAsia="en-US" w:bidi="ar-SA"/>
              </w:rPr>
              <w:t> Sapplica</w:t>
            </w:r>
          </w:p>
        </w:tc>
      </w:tr>
      <w:tr>
        <w:trPr/>
        <w:tc>
          <w:tcPr>
            <w:tcW w:w="2978"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40" w:before="0" w:after="0"/>
              <w:jc w:val="left"/>
              <w:rPr>
                <w:rFonts w:eastAsia="Calibri" w:cs=""/>
                <w:kern w:val="0"/>
                <w:sz w:val="22"/>
                <w:szCs w:val="22"/>
                <w:lang w:val="en-US" w:eastAsia="en-US" w:bidi="ar-SA"/>
              </w:rPr>
            </w:pPr>
            <w:r>
              <w:rPr>
                <w:rFonts w:eastAsia="Calibri" w:cs=""/>
                <w:kern w:val="0"/>
                <w:sz w:val="22"/>
                <w:szCs w:val="22"/>
                <w:lang w:val="en-US" w:eastAsia="en-US" w:bidi="ar-SA"/>
              </w:rPr>
              <w:t>Affected Products</w:t>
            </w:r>
          </w:p>
        </w:tc>
        <w:tc>
          <w:tcPr>
            <w:tcW w:w="12897"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napToGrid w:val="false"/>
              <w:spacing w:lineRule="auto" w:line="240" w:before="0" w:after="0"/>
              <w:jc w:val="left"/>
              <w:rPr>
                <w:rFonts w:eastAsia="Calibri" w:cs=""/>
                <w:kern w:val="0"/>
                <w:sz w:val="22"/>
                <w:szCs w:val="22"/>
                <w:lang w:val="es-ES" w:eastAsia="en-US" w:bidi="ar-SA"/>
              </w:rPr>
            </w:pPr>
            <w:r>
              <w:rPr>
                <w:rFonts w:eastAsia="Calibri" w:cs=""/>
                <w:kern w:val="0"/>
                <w:sz w:val="22"/>
                <w:szCs w:val="22"/>
                <w:lang w:val="es-ES" w:eastAsia="en-US" w:bidi="ar-SA"/>
              </w:rPr>
              <w:t> Sapplica Sentrifugo 3.2</w:t>
            </w:r>
          </w:p>
        </w:tc>
      </w:tr>
      <w:tr>
        <w:trPr/>
        <w:tc>
          <w:tcPr>
            <w:tcW w:w="2978"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40" w:before="0" w:after="0"/>
              <w:jc w:val="left"/>
              <w:rPr>
                <w:rFonts w:eastAsia="Calibri" w:cs=""/>
                <w:kern w:val="0"/>
                <w:sz w:val="22"/>
                <w:szCs w:val="22"/>
                <w:lang w:val="en-US" w:eastAsia="en-US" w:bidi="ar-SA"/>
              </w:rPr>
            </w:pPr>
            <w:r>
              <w:rPr>
                <w:rFonts w:eastAsia="Calibri" w:cs=""/>
                <w:kern w:val="0"/>
                <w:sz w:val="22"/>
                <w:szCs w:val="22"/>
                <w:lang w:val="en-US" w:eastAsia="en-US" w:bidi="ar-SA"/>
              </w:rPr>
              <w:t>Assigned CVE ID</w:t>
            </w:r>
          </w:p>
        </w:tc>
        <w:tc>
          <w:tcPr>
            <w:tcW w:w="12897"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napToGrid w:val="false"/>
              <w:spacing w:lineRule="auto" w:line="240" w:before="0" w:after="0"/>
              <w:jc w:val="left"/>
              <w:rPr>
                <w:rFonts w:eastAsia="Calibri" w:cs="Calibri"/>
                <w:color w:val="000000"/>
                <w:kern w:val="0"/>
                <w:sz w:val="22"/>
                <w:szCs w:val="22"/>
                <w:lang w:val="es-ES" w:eastAsia="en-US" w:bidi="ar-SA"/>
              </w:rPr>
            </w:pPr>
            <w:r>
              <w:rPr>
                <w:rFonts w:eastAsia="Calibri" w:cs="Calibri"/>
                <w:color w:val="000000"/>
                <w:kern w:val="0"/>
                <w:sz w:val="22"/>
                <w:szCs w:val="22"/>
                <w:lang w:val="es-ES" w:eastAsia="en-US" w:bidi="ar-SA"/>
              </w:rPr>
              <w:t>NO</w:t>
            </w:r>
          </w:p>
        </w:tc>
      </w:tr>
      <w:tr>
        <w:trPr/>
        <w:tc>
          <w:tcPr>
            <w:tcW w:w="2978"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40" w:before="0" w:after="0"/>
              <w:jc w:val="left"/>
              <w:rPr>
                <w:rFonts w:eastAsia="Calibri" w:cs=""/>
                <w:kern w:val="0"/>
                <w:sz w:val="22"/>
                <w:szCs w:val="22"/>
                <w:lang w:val="en-US" w:eastAsia="en-US" w:bidi="ar-SA"/>
              </w:rPr>
            </w:pPr>
            <w:r>
              <w:rPr>
                <w:rFonts w:eastAsia="Calibri" w:cs=""/>
                <w:kern w:val="0"/>
                <w:sz w:val="22"/>
                <w:szCs w:val="22"/>
                <w:lang w:val="en-US" w:eastAsia="en-US" w:bidi="ar-SA"/>
              </w:rPr>
              <w:t>Executive Summary</w:t>
            </w:r>
          </w:p>
        </w:tc>
        <w:tc>
          <w:tcPr>
            <w:tcW w:w="12897"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napToGrid w:val="false"/>
              <w:spacing w:lineRule="auto" w:line="240" w:before="0" w:after="0"/>
              <w:jc w:val="left"/>
              <w:rPr>
                <w:rFonts w:eastAsia="Calibri" w:cs=""/>
                <w:kern w:val="0"/>
                <w:sz w:val="22"/>
                <w:szCs w:val="22"/>
                <w:lang w:val="es-ES" w:eastAsia="en-US" w:bidi="ar-SA"/>
              </w:rPr>
            </w:pPr>
            <w:r>
              <w:rPr>
                <w:rFonts w:eastAsia="Calibri" w:cs=""/>
                <w:kern w:val="0"/>
                <w:sz w:val="22"/>
                <w:szCs w:val="22"/>
                <w:lang w:val="es-ES" w:eastAsia="en-US" w:bidi="ar-SA"/>
              </w:rPr>
              <w:t> SQL Injection in Sentrifugo</w:t>
            </w:r>
          </w:p>
        </w:tc>
      </w:tr>
      <w:tr>
        <w:trPr/>
        <w:tc>
          <w:tcPr>
            <w:tcW w:w="2978"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40" w:before="0" w:after="0"/>
              <w:jc w:val="left"/>
              <w:rPr>
                <w:rFonts w:eastAsia="Calibri" w:cs=""/>
                <w:kern w:val="0"/>
                <w:sz w:val="22"/>
                <w:szCs w:val="22"/>
                <w:lang w:val="es-ES" w:eastAsia="en-US" w:bidi="ar-SA"/>
              </w:rPr>
            </w:pPr>
            <w:r>
              <w:rPr>
                <w:rFonts w:eastAsia="Calibri" w:cs=""/>
                <w:kern w:val="0"/>
                <w:sz w:val="22"/>
                <w:szCs w:val="22"/>
                <w:lang w:val="es-ES" w:eastAsia="en-US" w:bidi="ar-SA"/>
              </w:rPr>
              <w:t>Researcher</w:t>
            </w:r>
          </w:p>
        </w:tc>
        <w:tc>
          <w:tcPr>
            <w:tcW w:w="12897"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napToGrid w:val="false"/>
              <w:spacing w:lineRule="auto" w:line="240" w:before="0" w:after="0"/>
              <w:jc w:val="left"/>
              <w:rPr>
                <w:rFonts w:eastAsia="Calibri" w:cs=""/>
                <w:kern w:val="0"/>
                <w:sz w:val="22"/>
                <w:szCs w:val="22"/>
                <w:lang w:val="es-ES" w:eastAsia="en-US" w:bidi="ar-SA"/>
              </w:rPr>
            </w:pPr>
            <w:r>
              <w:rPr>
                <w:rFonts w:eastAsia="Calibri" w:cs=""/>
                <w:kern w:val="0"/>
                <w:sz w:val="22"/>
                <w:szCs w:val="22"/>
                <w:lang w:val="es-ES" w:eastAsia="en-US" w:bidi="ar-SA"/>
              </w:rPr>
              <w:t> Rafael Pedrero</w:t>
            </w:r>
          </w:p>
        </w:tc>
      </w:tr>
      <w:tr>
        <w:trPr/>
        <w:tc>
          <w:tcPr>
            <w:tcW w:w="2978"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40" w:before="0" w:after="0"/>
              <w:jc w:val="left"/>
              <w:rPr>
                <w:rFonts w:eastAsia="Calibri" w:cs=""/>
                <w:kern w:val="0"/>
                <w:sz w:val="22"/>
                <w:szCs w:val="22"/>
                <w:lang w:val="es-ES" w:eastAsia="en-US" w:bidi="ar-SA"/>
              </w:rPr>
            </w:pPr>
            <w:r>
              <w:rPr>
                <w:rFonts w:eastAsia="Calibri" w:cs=""/>
                <w:kern w:val="0"/>
                <w:sz w:val="22"/>
                <w:szCs w:val="22"/>
                <w:lang w:val="es-ES" w:eastAsia="en-US" w:bidi="ar-SA"/>
              </w:rPr>
              <w:t>Acknowledgments</w:t>
            </w:r>
          </w:p>
        </w:tc>
        <w:tc>
          <w:tcPr>
            <w:tcW w:w="12897"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napToGrid w:val="false"/>
              <w:spacing w:lineRule="auto" w:line="240" w:before="0" w:after="0"/>
              <w:jc w:val="left"/>
              <w:rPr>
                <w:rFonts w:eastAsia="Calibri" w:cs=""/>
                <w:kern w:val="0"/>
                <w:sz w:val="22"/>
                <w:szCs w:val="22"/>
                <w:lang w:val="es-ES" w:eastAsia="en-US" w:bidi="ar-SA"/>
              </w:rPr>
            </w:pPr>
            <w:r>
              <w:rPr>
                <w:rFonts w:eastAsia="Calibri" w:cs=""/>
                <w:kern w:val="0"/>
                <w:sz w:val="22"/>
                <w:szCs w:val="22"/>
                <w:lang w:val="es-ES" w:eastAsia="en-US" w:bidi="ar-SA"/>
              </w:rPr>
            </w:r>
          </w:p>
        </w:tc>
      </w:tr>
      <w:tr>
        <w:trPr>
          <w:trHeight w:val="305" w:hRule="atLeast"/>
        </w:trPr>
        <w:tc>
          <w:tcPr>
            <w:tcW w:w="2978"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40" w:before="0" w:after="0"/>
              <w:jc w:val="left"/>
              <w:rPr>
                <w:rFonts w:eastAsia="Calibri" w:cs=""/>
                <w:kern w:val="0"/>
                <w:sz w:val="22"/>
                <w:szCs w:val="22"/>
                <w:lang w:val="es-ES" w:eastAsia="en-US" w:bidi="ar-SA"/>
              </w:rPr>
            </w:pPr>
            <w:r>
              <w:rPr>
                <w:rFonts w:eastAsia="Calibri" w:cs=""/>
                <w:kern w:val="0"/>
                <w:sz w:val="22"/>
                <w:szCs w:val="22"/>
                <w:lang w:val="es-ES" w:eastAsia="en-US" w:bidi="ar-SA"/>
              </w:rPr>
              <w:t>CWE</w:t>
            </w:r>
          </w:p>
        </w:tc>
        <w:tc>
          <w:tcPr>
            <w:tcW w:w="12897"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napToGrid w:val="false"/>
              <w:spacing w:lineRule="auto" w:line="240" w:before="0" w:after="0"/>
              <w:jc w:val="left"/>
              <w:rPr>
                <w:rFonts w:eastAsia="Calibri" w:cs=""/>
                <w:kern w:val="0"/>
                <w:sz w:val="22"/>
                <w:szCs w:val="22"/>
                <w:lang w:val="es-ES" w:eastAsia="en-US" w:bidi="ar-SA"/>
              </w:rPr>
            </w:pPr>
            <w:r>
              <w:rPr>
                <w:rFonts w:eastAsia="Calibri" w:cs=""/>
                <w:kern w:val="0"/>
                <w:sz w:val="22"/>
                <w:szCs w:val="22"/>
                <w:lang w:val="es-ES" w:eastAsia="en-US" w:bidi="ar-SA"/>
              </w:rPr>
              <w:t>CWE-</w:t>
            </w:r>
            <w:r>
              <w:rPr>
                <w:rFonts w:eastAsia="Calibri" w:cs=""/>
                <w:kern w:val="0"/>
                <w:sz w:val="22"/>
                <w:szCs w:val="22"/>
                <w:lang w:val="es-ES" w:eastAsia="en-US" w:bidi="ar-SA"/>
              </w:rPr>
              <w:t>89 SQL Injection</w:t>
            </w:r>
            <w:r>
              <w:rPr>
                <w:rFonts w:eastAsia="Calibri" w:cs=""/>
                <w:kern w:val="0"/>
                <w:sz w:val="22"/>
                <w:szCs w:val="22"/>
                <w:lang w:val="es-ES" w:eastAsia="en-US" w:bidi="ar-SA"/>
              </w:rPr>
              <w:t xml:space="preserve"/>
            </w:r>
          </w:p>
        </w:tc>
      </w:tr>
      <w:tr>
        <w:trPr/>
        <w:tc>
          <w:tcPr>
            <w:tcW w:w="2978"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40" w:before="0" w:after="0"/>
              <w:jc w:val="left"/>
              <w:rPr>
                <w:rFonts w:eastAsia="Calibri" w:cs=""/>
                <w:kern w:val="0"/>
                <w:sz w:val="22"/>
                <w:szCs w:val="22"/>
                <w:lang w:val="es-ES" w:eastAsia="en-US" w:bidi="ar-SA"/>
              </w:rPr>
            </w:pPr>
            <w:r>
              <w:rPr>
                <w:rFonts w:eastAsia="Calibri" w:cs=""/>
                <w:kern w:val="0"/>
                <w:sz w:val="22"/>
                <w:szCs w:val="22"/>
                <w:lang w:val="es-ES" w:eastAsia="en-US" w:bidi="ar-SA"/>
              </w:rPr>
              <w:t>Vulnerability overview</w:t>
            </w:r>
          </w:p>
        </w:tc>
        <w:tc>
          <w:tcPr>
            <w:tcW w:w="12897"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napToGrid w:val="false"/>
              <w:spacing w:lineRule="auto" w:line="240" w:before="0" w:after="0"/>
              <w:jc w:val="left"/>
              <w:rPr>
                <w:rFonts w:eastAsia="Calibri" w:cs=""/>
                <w:kern w:val="0"/>
                <w:sz w:val="22"/>
                <w:szCs w:val="22"/>
                <w:lang w:val="es-ES" w:eastAsia="en-US" w:bidi="ar-SA"/>
              </w:rPr>
            </w:pPr>
            <w:r>
              <w:rPr>
                <w:rFonts w:eastAsia="Calibri" w:cs=""/>
                <w:kern w:val="0"/>
                <w:sz w:val="22"/>
                <w:szCs w:val="22"/>
                <w:lang w:val="es-ES" w:eastAsia="en-US" w:bidi="ar-SA"/>
              </w:rPr>
              <w:t>A vulnerability has been discovered in Sentrifugo 3.2 that consists in a Sql Injection via /sentrifugo/index.php/reports/businessunits/format/html, bunitname parameters. This vulnerability could allow a remote user to send a specially crafted query to the server and extract all the data in it.</w:t>
            </w:r>
          </w:p>
        </w:tc>
      </w:tr>
      <w:tr>
        <w:trPr/>
        <w:tc>
          <w:tcPr>
            <w:tcW w:w="2978"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40" w:before="0" w:after="0"/>
              <w:jc w:val="left"/>
              <w:rPr>
                <w:rFonts w:eastAsia="Calibri" w:cs=""/>
                <w:kern w:val="0"/>
                <w:sz w:val="22"/>
                <w:szCs w:val="22"/>
                <w:lang w:val="en-US" w:eastAsia="en-US" w:bidi="ar-SA"/>
              </w:rPr>
            </w:pPr>
            <w:r>
              <w:rPr>
                <w:rFonts w:eastAsia="Calibri" w:cs=""/>
                <w:kern w:val="0"/>
                <w:sz w:val="22"/>
                <w:szCs w:val="22"/>
                <w:lang w:val="en-US" w:eastAsia="en-US" w:bidi="ar-SA"/>
              </w:rPr>
              <w:t>Vendor Mitigations</w:t>
            </w:r>
          </w:p>
        </w:tc>
        <w:tc>
          <w:tcPr>
            <w:tcW w:w="12897"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napToGrid w:val="false"/>
              <w:spacing w:lineRule="auto" w:line="240" w:before="0" w:after="0"/>
              <w:jc w:val="left"/>
              <w:rPr>
                <w:rFonts w:eastAsia="Calibri" w:cs=""/>
                <w:b w:val="false"/>
                <w:b w:val="false"/>
                <w:bCs w:val="false"/>
                <w:kern w:val="0"/>
                <w:sz w:val="22"/>
                <w:szCs w:val="22"/>
                <w:lang w:val="es-ES" w:eastAsia="en-US" w:bidi="ar-SA"/>
              </w:rPr>
            </w:pPr>
            <w:r>
              <w:rPr>
                <w:rFonts w:eastAsia="Calibri" w:cs=""/>
                <w:b w:val="false"/>
                <w:bCs w:val="false"/>
                <w:kern w:val="0"/>
                <w:sz w:val="22"/>
                <w:szCs w:val="22"/>
                <w:lang w:val="es-ES" w:eastAsia="en-US" w:bidi="ar-SA"/>
              </w:rPr>
            </w:r>
          </w:p>
        </w:tc>
      </w:tr>
      <w:tr>
        <w:trPr/>
        <w:tc>
          <w:tcPr>
            <w:tcW w:w="2978"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40" w:before="0" w:after="0"/>
              <w:jc w:val="left"/>
              <w:rPr>
                <w:rFonts w:eastAsia="Calibri" w:cs=""/>
                <w:kern w:val="0"/>
                <w:sz w:val="22"/>
                <w:szCs w:val="22"/>
                <w:lang w:val="en-US" w:eastAsia="en-US" w:bidi="ar-SA"/>
              </w:rPr>
            </w:pPr>
            <w:r>
              <w:rPr>
                <w:rFonts w:eastAsia="Calibri" w:cs=""/>
                <w:kern w:val="0"/>
                <w:sz w:val="22"/>
                <w:szCs w:val="22"/>
                <w:lang w:val="en-US" w:eastAsia="en-US" w:bidi="ar-SA"/>
              </w:rPr>
              <w:t>References</w:t>
            </w:r>
          </w:p>
        </w:tc>
        <w:tc>
          <w:tcPr>
            <w:tcW w:w="12897"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napToGrid w:val="false"/>
              <w:spacing w:lineRule="auto" w:line="240" w:before="0" w:after="0"/>
              <w:jc w:val="left"/>
              <w:rPr>
                <w:rFonts w:eastAsia="Calibri" w:cs=""/>
                <w:kern w:val="0"/>
                <w:sz w:val="22"/>
                <w:szCs w:val="22"/>
                <w:lang w:val="es-ES" w:eastAsia="en-US" w:bidi="ar-SA"/>
              </w:rPr>
            </w:pPr>
            <w:r>
              <w:rPr>
                <w:rFonts w:eastAsia="Calibri" w:cs=""/>
                <w:kern w:val="0"/>
                <w:sz w:val="22"/>
                <w:szCs w:val="22"/>
                <w:lang w:val="es-ES" w:eastAsia="en-US" w:bidi="ar-SA"/>
              </w:rPr>
              <w:t>http://www.sentrifugo.com/</w:t>
            </w:r>
            <w:r>
              <w:rPr>
                <w:rFonts w:eastAsia="Calibri" w:cs=""/>
                <w:kern w:val="0"/>
                <w:sz w:val="22"/>
                <w:szCs w:val="22"/>
                <w:lang w:val="es-ES" w:eastAsia="en-US" w:bidi="ar-SA"/>
              </w:rPr>
              <w:t xml:space="preserve"/>
            </w:r>
          </w:p>
        </w:tc>
      </w:tr>
      <w:tr>
        <w:trPr/>
        <w:tc>
          <w:tcPr>
            <w:tcW w:w="2978"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40" w:before="0" w:after="0"/>
              <w:jc w:val="left"/>
              <w:rPr>
                <w:rFonts w:eastAsia="Calibri" w:cs=""/>
                <w:kern w:val="0"/>
                <w:sz w:val="22"/>
                <w:szCs w:val="22"/>
                <w:lang w:val="en-US" w:eastAsia="en-US" w:bidi="ar-SA"/>
              </w:rPr>
            </w:pPr>
            <w:r>
              <w:rPr>
                <w:rFonts w:eastAsia="Calibri" w:cs=""/>
                <w:kern w:val="0"/>
                <w:sz w:val="22"/>
                <w:szCs w:val="22"/>
                <w:lang w:val="en-US" w:eastAsia="en-US" w:bidi="ar-SA"/>
              </w:rPr>
              <w:t>Legal Notice</w:t>
            </w:r>
          </w:p>
        </w:tc>
        <w:tc>
          <w:tcPr>
            <w:tcW w:w="12897" w:type="dxa"/>
            <w:tcBorders>
              <w:top w:val="single" w:sz="4" w:space="0" w:color="000000"/>
              <w:left w:val="single" w:sz="4" w:space="0" w:color="000000"/>
              <w:bottom w:val="single" w:sz="4" w:space="0" w:color="000000"/>
              <w:right w:val="single" w:sz="4" w:space="0" w:color="000000"/>
            </w:tcBorders>
          </w:tcPr>
          <w:p>
            <w:pPr>
              <w:pStyle w:val="Normal"/>
              <w:widowControl w:val="false"/>
              <w:shd w:val="clear" w:fill="FFFFFF"/>
              <w:suppressAutoHyphens w:val="true"/>
              <w:spacing w:lineRule="auto" w:line="240" w:before="0" w:after="0"/>
              <w:jc w:val="left"/>
              <w:rPr>
                <w:rFonts w:eastAsia="Calibri" w:cs=""/>
                <w:kern w:val="0"/>
                <w:sz w:val="22"/>
                <w:szCs w:val="22"/>
                <w:lang w:val="es-ES" w:eastAsia="en-US" w:bidi="ar-SA"/>
              </w:rPr>
            </w:pPr>
            <w:r>
              <w:rPr>
                <w:rFonts w:eastAsia="Calibri" w:cs=""/>
                <w:kern w:val="0"/>
                <w:sz w:val="22"/>
                <w:szCs w:val="22"/>
                <w:lang w:val="en-GB" w:eastAsia="en-US" w:bidi="ar-SA"/>
              </w:rPr>
              <w:t xml:space="preserve">All information advisories included in INCIBE are provided “as is” for informational purposes only. INCIBE does not provide any warranties of any kind regarding any information contained within. INCIBE does not endorse any commercial product or service, referenced in this product or otherwise. Further dissemination of this product is governed by the Traffic Light Protocol (TLP) marking in the header. For more information about TLP, see </w:t>
            </w:r>
            <w:hyperlink r:id="rId2">
              <w:r>
                <w:rPr>
                  <w:rStyle w:val="EnlacedeInternet"/>
                  <w:rFonts w:eastAsia="Calibri" w:cs="Calibri"/>
                  <w:kern w:val="0"/>
                  <w:sz w:val="22"/>
                  <w:szCs w:val="22"/>
                  <w:lang w:val="en-GB" w:eastAsia="en-US" w:bidi="ar-SA"/>
                </w:rPr>
                <w:t>https://www.incibe.es/en/incibe-cert/about-us/tlp</w:t>
              </w:r>
            </w:hyperlink>
          </w:p>
        </w:tc>
      </w:tr>
      <w:tr>
        <w:trPr/>
        <w:tc>
          <w:tcPr>
            <w:tcW w:w="2978"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40" w:before="0" w:after="0"/>
              <w:jc w:val="left"/>
              <w:rPr>
                <w:rFonts w:eastAsia="Calibri" w:cs=""/>
                <w:kern w:val="0"/>
                <w:sz w:val="22"/>
                <w:szCs w:val="22"/>
                <w:lang w:val="es-ES" w:eastAsia="en-US" w:bidi="ar-SA"/>
              </w:rPr>
            </w:pPr>
            <w:r>
              <w:rPr>
                <w:rFonts w:eastAsia="Calibri" w:cs=""/>
                <w:kern w:val="0"/>
                <w:sz w:val="22"/>
                <w:szCs w:val="22"/>
                <w:lang w:val="es-ES" w:eastAsia="en-US" w:bidi="ar-SA"/>
              </w:rPr>
              <w:t>Contact</w:t>
            </w:r>
          </w:p>
        </w:tc>
        <w:tc>
          <w:tcPr>
            <w:tcW w:w="12897"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40" w:before="0" w:after="0"/>
              <w:jc w:val="left"/>
              <w:rPr>
                <w:rFonts w:eastAsia="Calibri" w:cs="Calibri"/>
                <w:kern w:val="0"/>
                <w:sz w:val="22"/>
                <w:szCs w:val="22"/>
                <w:lang w:val="en-GB" w:eastAsia="en-US" w:bidi="ar-SA"/>
              </w:rPr>
            </w:pPr>
            <w:r>
              <w:rPr>
                <w:rFonts w:eastAsia="Calibri" w:cs="Calibri"/>
                <w:kern w:val="0"/>
                <w:sz w:val="22"/>
                <w:szCs w:val="22"/>
                <w:lang w:val="en-GB" w:eastAsia="en-US" w:bidi="ar-SA"/>
              </w:rPr>
              <w:t>If you have any information regarding this advisory, please contact INCIBE at:</w:t>
            </w:r>
          </w:p>
          <w:p>
            <w:pPr>
              <w:pStyle w:val="Normal"/>
              <w:widowControl w:val="false"/>
              <w:suppressAutoHyphens w:val="true"/>
              <w:spacing w:lineRule="auto" w:line="240" w:before="0" w:after="0"/>
              <w:jc w:val="left"/>
              <w:rPr>
                <w:rFonts w:eastAsia="Calibri" w:cs=""/>
                <w:kern w:val="0"/>
                <w:sz w:val="22"/>
                <w:szCs w:val="22"/>
                <w:lang w:val="en-GB" w:eastAsia="en-US" w:bidi="ar-SA"/>
              </w:rPr>
            </w:pPr>
            <w:r>
              <w:rPr>
                <w:rFonts w:eastAsia="Calibri" w:cs="Calibri"/>
                <w:kern w:val="0"/>
                <w:sz w:val="22"/>
                <w:szCs w:val="22"/>
                <w:lang w:val="en-GB" w:eastAsia="en-US" w:bidi="ar-SA"/>
              </w:rPr>
              <w:t xml:space="preserve">for vulnerability disclosure </w:t>
            </w:r>
            <w:hyperlink r:id="rId3">
              <w:r>
                <w:rPr>
                  <w:rStyle w:val="EnlacedeInternet"/>
                  <w:rFonts w:eastAsia="Calibri" w:cs="Calibri"/>
                  <w:kern w:val="0"/>
                  <w:sz w:val="22"/>
                  <w:szCs w:val="22"/>
                  <w:lang w:val="en-GB" w:eastAsia="en-US" w:bidi="ar-SA"/>
                </w:rPr>
                <w:t>https://www.incibe.es/en/incibe-cert/early-warning/vulnerabilities/cve-assignment-publication</w:t>
              </w:r>
            </w:hyperlink>
          </w:p>
          <w:p>
            <w:pPr>
              <w:pStyle w:val="Normal"/>
              <w:widowControl w:val="false"/>
              <w:suppressAutoHyphens w:val="true"/>
              <w:spacing w:lineRule="auto" w:line="240" w:before="0" w:after="0"/>
              <w:jc w:val="left"/>
              <w:rPr/>
            </w:pPr>
            <w:r>
              <w:rPr>
                <w:rFonts w:eastAsia="Calibri" w:cs=""/>
                <w:kern w:val="0"/>
                <w:sz w:val="22"/>
                <w:szCs w:val="22"/>
                <w:lang w:val="en-GB" w:eastAsia="en-US" w:bidi="ar-SA"/>
              </w:rPr>
              <w:t xml:space="preserve">or incident reporting </w:t>
            </w:r>
            <w:hyperlink r:id="rId4">
              <w:r>
                <w:rPr>
                  <w:rStyle w:val="EnlacedeInternet"/>
                  <w:rFonts w:eastAsia="Calibri" w:cs=""/>
                  <w:kern w:val="0"/>
                  <w:sz w:val="22"/>
                  <w:szCs w:val="22"/>
                  <w:lang w:val="en-GB" w:eastAsia="en-US" w:bidi="ar-SA"/>
                </w:rPr>
                <w:t>https://www.incibe.es/en/incibe-cert/incidents/incident-handling</w:t>
              </w:r>
            </w:hyperlink>
          </w:p>
        </w:tc>
      </w:tr>
    </w:tbl>
    <w:p>
      <w:pPr>
        <w:pStyle w:val="Normal"/>
        <w:spacing w:before="0" w:after="160"/>
        <w:rPr/>
      </w:pPr>
      <w:r>
        <w:rPr/>
      </w:r>
      <w:bookmarkStart w:id="0" w:name="_GoBack"/>
      <w:bookmarkStart w:id="1" w:name="_GoBack"/>
      <w:bookmarkEnd w:id="1"/>
    </w:p>
    <w:sectPr>
      <w:type w:val="nextPage"/>
      <w:pgSz w:orient="landscape" w:w="16838" w:h="11906"/>
      <w:pgMar w:left="1417" w:right="1417" w:gutter="0" w:header="0" w:top="1701" w:footer="0" w:bottom="1701"/>
      <w:pgNumType w:fmt="decimal"/>
      <w:formProt w:val="false"/>
      <w:textDirection w:val="lrTb"/>
      <w:docGrid w:type="default" w:linePitch="360" w:charSpace="8192"/>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variable"/>
  </w:font>
  <w:font w:name="Segoe UI">
    <w:charset w:val="01"/>
    <w:family w:val="roman"/>
    <w:pitch w:val="variable"/>
  </w:font>
  <w:font w:name="Liberation Sans">
    <w:altName w:val="Arial"/>
    <w:charset w:val="01"/>
    <w:family w:val="roman"/>
    <w:pitch w:val="variable"/>
  </w:font>
</w:fonts>
</file>

<file path=word/settings.xml><?xml version="1.0" encoding="utf-8"?>
<w:settings xmlns:w="http://schemas.openxmlformats.org/wordprocessingml/2006/main">
  <w:zoom w:percent="130"/>
  <w:defaultTabStop w:val="708"/>
  <w:autoHyphenation w:val="true"/>
  <w:compat>
    <w:compatSetting w:name="compatibilityMode" w:uri="http://schemas.microsoft.com/office/word" w:val="15"/>
  </w:compat>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oto Serif CJK SC" w:cs="Lohit Devanagari"/>
        <w:sz w:val="24"/>
        <w:szCs w:val="24"/>
        <w:lang w:val="es-ES" w:eastAsia="zh-CN" w:bidi="hi-IN"/>
      </w:rPr>
    </w:rPrDefault>
    <w:pPrDefault>
      <w:pPr>
        <w:suppressAutoHyphens w:val="true"/>
      </w:pPr>
    </w:pPrDefault>
  </w:docDefaults>
  <w:style w:type="paragraph" w:styleId="Normal">
    <w:name w:val="Normal"/>
    <w:qFormat/>
    <w:pPr>
      <w:widowControl/>
      <w:suppressAutoHyphens w:val="true"/>
      <w:bidi w:val="0"/>
      <w:spacing w:lineRule="auto" w:line="252" w:before="0" w:after="160"/>
      <w:jc w:val="left"/>
    </w:pPr>
    <w:rPr>
      <w:rFonts w:ascii="Calibri" w:hAnsi="Calibri" w:eastAsia="Calibri" w:cs=""/>
      <w:color w:val="auto"/>
      <w:kern w:val="0"/>
      <w:sz w:val="22"/>
      <w:szCs w:val="22"/>
      <w:lang w:val="es-ES" w:eastAsia="en-US" w:bidi="ar-SA"/>
    </w:rPr>
  </w:style>
  <w:style w:type="character" w:styleId="DefaultParagraphFont">
    <w:name w:val="Default Paragraph Font"/>
    <w:qFormat/>
    <w:rPr/>
  </w:style>
  <w:style w:type="character" w:styleId="EnlacedeInternet">
    <w:name w:val="Enlace de Internet"/>
    <w:basedOn w:val="DefaultParagraphFont"/>
    <w:rPr>
      <w:color w:val="0563C1"/>
      <w:u w:val="single"/>
    </w:rPr>
  </w:style>
  <w:style w:type="character" w:styleId="Annotationreference">
    <w:name w:val="annotation reference"/>
    <w:basedOn w:val="DefaultParagraphFont"/>
    <w:qFormat/>
    <w:rPr>
      <w:sz w:val="16"/>
      <w:szCs w:val="16"/>
    </w:rPr>
  </w:style>
  <w:style w:type="character" w:styleId="TextocomentarioCar">
    <w:name w:val="Texto comentario Car"/>
    <w:basedOn w:val="DefaultParagraphFont"/>
    <w:qFormat/>
    <w:rPr>
      <w:sz w:val="20"/>
      <w:szCs w:val="20"/>
    </w:rPr>
  </w:style>
  <w:style w:type="character" w:styleId="TextocomentarioCar1">
    <w:name w:val="Texto comentario Car1"/>
    <w:basedOn w:val="DefaultParagraphFont"/>
    <w:qFormat/>
    <w:rPr>
      <w:sz w:val="20"/>
      <w:szCs w:val="20"/>
    </w:rPr>
  </w:style>
  <w:style w:type="character" w:styleId="AsuntodelcomentarioCar">
    <w:name w:val="Asunto del comentario Car"/>
    <w:basedOn w:val="TextocomentarioCar"/>
    <w:qFormat/>
    <w:rPr>
      <w:b/>
      <w:bCs/>
      <w:sz w:val="20"/>
      <w:szCs w:val="20"/>
    </w:rPr>
  </w:style>
  <w:style w:type="character" w:styleId="TextodegloboCar">
    <w:name w:val="Texto de globo Car"/>
    <w:basedOn w:val="DefaultParagraphFont"/>
    <w:qFormat/>
    <w:rPr>
      <w:rFonts w:ascii="Segoe UI" w:hAnsi="Segoe UI" w:cs="Segoe UI"/>
      <w:sz w:val="18"/>
      <w:szCs w:val="18"/>
    </w:rPr>
  </w:style>
  <w:style w:type="character" w:styleId="Size">
    <w:name w:val="size"/>
    <w:basedOn w:val="DefaultParagraphFont"/>
    <w:qFormat/>
    <w:rPr/>
  </w:style>
  <w:style w:type="character" w:styleId="EnlacedeInternetvisitado">
    <w:name w:val="Enlace de Internet visitado"/>
    <w:basedOn w:val="DefaultParagraphFont"/>
    <w:rPr>
      <w:color w:val="954F72"/>
      <w:u w:val="single"/>
    </w:rPr>
  </w:style>
  <w:style w:type="paragraph" w:styleId="Ttulo">
    <w:name w:val="Título"/>
    <w:basedOn w:val="Normal"/>
    <w:next w:val="Cuerpodetexto"/>
    <w:qFormat/>
    <w:pPr>
      <w:keepNext w:val="true"/>
      <w:spacing w:before="240" w:after="120"/>
    </w:pPr>
    <w:rPr>
      <w:rFonts w:ascii="Liberation Sans;Arial" w:hAnsi="Liberation Sans;Arial" w:eastAsia="Noto Sans CJK SC" w:cs="Lohit Devanagari"/>
      <w:sz w:val="28"/>
      <w:szCs w:val="28"/>
    </w:rPr>
  </w:style>
  <w:style w:type="paragraph" w:styleId="Cuerpodetexto">
    <w:name w:val="Body Text"/>
    <w:basedOn w:val="Normal"/>
    <w:pPr>
      <w:spacing w:lineRule="auto" w:line="276" w:before="0" w:after="140"/>
    </w:pPr>
    <w:rPr/>
  </w:style>
  <w:style w:type="paragraph" w:styleId="Lista">
    <w:name w:val="List"/>
    <w:basedOn w:val="Cuerpodetexto"/>
    <w:pPr/>
    <w:rPr>
      <w:rFonts w:cs="Lohit Devanagari"/>
    </w:rPr>
  </w:style>
  <w:style w:type="paragraph" w:styleId="Leyenda">
    <w:name w:val="Caption"/>
    <w:basedOn w:val="Normal"/>
    <w:qFormat/>
    <w:pPr>
      <w:suppressLineNumbers/>
      <w:spacing w:before="120" w:after="120"/>
    </w:pPr>
    <w:rPr>
      <w:rFonts w:cs="Lohit Devanagari"/>
      <w:i/>
      <w:iCs/>
      <w:sz w:val="24"/>
      <w:szCs w:val="24"/>
    </w:rPr>
  </w:style>
  <w:style w:type="paragraph" w:styleId="Ndice">
    <w:name w:val="Índice"/>
    <w:basedOn w:val="Normal"/>
    <w:qFormat/>
    <w:pPr>
      <w:suppressLineNumbers/>
    </w:pPr>
    <w:rPr>
      <w:rFonts w:cs="Lohit Devanagari"/>
    </w:rPr>
  </w:style>
  <w:style w:type="paragraph" w:styleId="Caption">
    <w:name w:val="caption"/>
    <w:basedOn w:val="Normal"/>
    <w:qFormat/>
    <w:pPr>
      <w:suppressLineNumbers/>
      <w:spacing w:before="120" w:after="120"/>
    </w:pPr>
    <w:rPr>
      <w:rFonts w:cs="Lohit Devanagari"/>
      <w:i/>
      <w:iCs/>
      <w:sz w:val="24"/>
      <w:szCs w:val="24"/>
    </w:rPr>
  </w:style>
  <w:style w:type="paragraph" w:styleId="Annotationtext">
    <w:name w:val="annotation text"/>
    <w:basedOn w:val="Normal"/>
    <w:qFormat/>
    <w:pPr>
      <w:spacing w:lineRule="auto" w:line="240"/>
    </w:pPr>
    <w:rPr>
      <w:sz w:val="20"/>
      <w:szCs w:val="20"/>
    </w:rPr>
  </w:style>
  <w:style w:type="paragraph" w:styleId="Annotationsubject">
    <w:name w:val="annotation subject"/>
    <w:basedOn w:val="Annotationtext"/>
    <w:next w:val="Annotationtext"/>
    <w:qFormat/>
    <w:pPr/>
    <w:rPr>
      <w:b/>
      <w:bCs/>
    </w:rPr>
  </w:style>
  <w:style w:type="paragraph" w:styleId="BalloonText">
    <w:name w:val="Balloon Text"/>
    <w:basedOn w:val="Normal"/>
    <w:qFormat/>
    <w:pPr>
      <w:spacing w:lineRule="auto" w:line="240" w:before="0" w:after="0"/>
    </w:pPr>
    <w:rPr>
      <w:rFonts w:ascii="Segoe UI" w:hAnsi="Segoe UI" w:cs="Segoe UI"/>
      <w:sz w:val="18"/>
      <w:szCs w:val="18"/>
    </w:rPr>
  </w:style>
  <w:style w:type="paragraph" w:styleId="ListParagraph">
    <w:name w:val="List Paragraph"/>
    <w:basedOn w:val="Normal"/>
    <w:qFormat/>
    <w:pPr>
      <w:spacing w:before="0" w:after="160"/>
      <w:ind w:left="720" w:right="0" w:hanging="0"/>
      <w:contextualSpacing/>
    </w:pPr>
    <w:rPr/>
  </w:style>
  <w:style w:type="paragraph" w:styleId="Contenidodelatabla">
    <w:name w:val="Contenido de la tabla"/>
    <w:basedOn w:val="Normal"/>
    <w:qFormat/>
    <w:pPr>
      <w:suppressLineNumbers/>
    </w:pPr>
    <w:rPr/>
  </w:style>
  <w:style w:type="paragraph" w:styleId="Ttulodelatabla">
    <w:name w:val="Título de la tabla"/>
    <w:basedOn w:val="Contenidodelatabla"/>
    <w:qFormat/>
    <w:pPr>
      <w:jc w:val="center"/>
    </w:pPr>
    <w:rPr>
      <w:b/>
      <w:bCs/>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s://www.incibe-cert.es/en/tlp" TargetMode="External"/><Relationship Id="rId3" Type="http://schemas.openxmlformats.org/officeDocument/2006/relationships/hyperlink" Target="https://www.incibe.es/reporte-vulnerabilidades-cna" TargetMode="External"/><Relationship Id="rId4" Type="http://schemas.openxmlformats.org/officeDocument/2006/relationships/hyperlink" Target="https://www.incibe-cert.es/notificaciones" TargetMode="External"/><Relationship Id="rId5" Type="http://schemas.openxmlformats.org/officeDocument/2006/relationships/fontTable" Target="fontTable.xml"/><Relationship Id="rId6"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Normal.dotm</Template>
  <TotalTime>1148</TotalTime>
  <Application>LibreOffice/7.3.6.2$Linux_X86_64 LibreOffice_project/30$Build-2</Application>
  <AppVersion>15.0000</AppVersion>
  <Pages>1</Pages>
  <Words>199</Words>
  <Characters>1498</Characters>
  <CharactersWithSpaces>1673</CharactersWithSpaces>
  <Paragraphs>34</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2021-04-19T11:54:00Z</dcterms:created>
  <dc:creator/>
  <dc:description/>
  <dc:language>es-ES</dc:language>
  <cp:lastModifiedBy/>
  <dcterms:modified xsi:type="dcterms:W3CDTF">2022-11-02T20:17:28Z</dcterms:modified>
  <cp:revision>34</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0</vt:bool>
  </property>
  <property fmtid="{D5CDD505-2E9C-101B-9397-08002B2CF9AE}" pid="3" name="LinksUpToDate">
    <vt:bool>0</vt:bool>
  </property>
  <property fmtid="{D5CDD505-2E9C-101B-9397-08002B2CF9AE}" pid="4" name="ScaleCrop">
    <vt:bool>0</vt:bool>
  </property>
  <property fmtid="{D5CDD505-2E9C-101B-9397-08002B2CF9AE}" pid="5" name="ShareDoc">
    <vt:bool>0</vt:bool>
  </property>
</Properties>
</file>